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E5F50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E5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F5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E5F50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E5F50">
        <w:rPr>
          <w:noProof/>
          <w:sz w:val="24"/>
          <w:szCs w:val="24"/>
        </w:rPr>
        <w:t>958</w:t>
      </w:r>
      <w:r w:rsidR="00102979" w:rsidRPr="005E5F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E5F50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E5F50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E5F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E5F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E5F50">
        <w:rPr>
          <w:sz w:val="24"/>
          <w:szCs w:val="24"/>
        </w:rPr>
        <w:t xml:space="preserve"> </w:t>
      </w:r>
      <w:r w:rsidR="001964A6" w:rsidRPr="005E5F50">
        <w:rPr>
          <w:noProof/>
          <w:sz w:val="24"/>
          <w:szCs w:val="24"/>
        </w:rPr>
        <w:t>50:19:0050319:993</w:t>
      </w:r>
      <w:r w:rsidRPr="005E5F50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E5F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E5F50">
        <w:rPr>
          <w:sz w:val="24"/>
          <w:szCs w:val="24"/>
        </w:rPr>
        <w:t xml:space="preserve"> – «</w:t>
      </w:r>
      <w:r w:rsidR="00597746" w:rsidRPr="005E5F50">
        <w:rPr>
          <w:noProof/>
          <w:sz w:val="24"/>
          <w:szCs w:val="24"/>
        </w:rPr>
        <w:t>Земли населенных пунктов</w:t>
      </w:r>
      <w:r w:rsidRPr="005E5F5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E5F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E5F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E5F50">
        <w:rPr>
          <w:sz w:val="24"/>
          <w:szCs w:val="24"/>
        </w:rPr>
        <w:t xml:space="preserve"> – «</w:t>
      </w:r>
      <w:r w:rsidR="003E59E1" w:rsidRPr="005E5F50">
        <w:rPr>
          <w:noProof/>
          <w:sz w:val="24"/>
          <w:szCs w:val="24"/>
        </w:rPr>
        <w:t>Для индивидуального жилищного строительства</w:t>
      </w:r>
      <w:r w:rsidRPr="005E5F50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E5F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E5F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E5F50">
        <w:rPr>
          <w:sz w:val="24"/>
          <w:szCs w:val="24"/>
        </w:rPr>
        <w:t xml:space="preserve">: </w:t>
      </w:r>
      <w:r w:rsidR="00D1191C" w:rsidRPr="005E5F50">
        <w:rPr>
          <w:noProof/>
          <w:sz w:val="24"/>
          <w:szCs w:val="24"/>
        </w:rPr>
        <w:t>Московская область, город Руза, деревня Барынино</w:t>
      </w:r>
      <w:r w:rsidR="00472CAA" w:rsidRPr="005E5F50">
        <w:rPr>
          <w:sz w:val="24"/>
          <w:szCs w:val="24"/>
        </w:rPr>
        <w:t xml:space="preserve"> </w:t>
      </w:r>
      <w:r w:rsidRPr="005E5F50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E5F50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E5F50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E5F50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третьего пояса зоны санитарной охраны источника питьевого и хозяйственно-бытового водоснабжения - подольско-мячковского водоносного комплекса, эксплуатируемого скважинами № 1 и № 2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         Ограничение прав на земельный участок, предусмотренное ст. 56 Земельного Кодекса РФ.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719B758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5E5F50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</w:t>
      </w:r>
      <w:r w:rsidRPr="00A31FA7">
        <w:rPr>
          <w:bCs/>
        </w:rPr>
        <w:lastRenderedPageBreak/>
        <w:t>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санитарных правил и нормативов «Зоны санитарной охраны источников водоснабжения и водопроводов питьевого назначения СанПиН 2.1.4.1110-02», утвержденных постановлением Главного государственного санитарного врача Российской Федерации от 14.03.2002 № 10.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</w:t>
      </w:r>
      <w:r w:rsidR="00CB31B5" w:rsidRPr="00A31FA7">
        <w:lastRenderedPageBreak/>
        <w:t>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09B9C7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4CCF220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E5F5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E5F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E5F5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E5F5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F5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5E5F50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E5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E5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E5F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E5F50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F50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Московская обл, г Руза, ул Солнцева, д 11</w:t>
            </w:r>
            <w:r w:rsidRPr="005E5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E5F5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5E5F5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E5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E5F5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1585BD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5C88BB7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958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5F50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A6F9B-6030-4553-A980-B646E29B3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3180</Words>
  <Characters>18127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2026-06-02T14:17:00Z</dcterms:modified>
</cp:coreProperties>
</file>